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bookmarkStart w:id="0" w:name="_GoBack"/>
      <w:r>
        <w:rPr>
          <w:rFonts w:ascii="Calibri" w:hAnsi="Calibri" w:cs="Calibri"/>
          <w:color w:val="000000"/>
          <w:sz w:val="24"/>
          <w:szCs w:val="24"/>
        </w:rPr>
        <w:t>MEMORIA</w:t>
      </w:r>
    </w:p>
    <w:bookmarkEnd w:id="0"/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¿Cómo será la arquitectura dentro de 50, 70 o 100 años, la vida operativa estimable de un edificio nuevo? ¿Qué rol cumplirán las asociaciones colegiadas vinculadas a la profesión en aquel futuro?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Considerando que las profesiones varían con el tiempo adecuándose a las necesidades sociales de cada momento histórico, las instituciones que las representan deben de igual manera, configurarse espacial y dotacionalmente de modo tal de permitir dar cuenta de estos cambios, aceptarlos y potenciarlos.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Así, la propuesta para la nueva sede del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Capsf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D4 implica una configuración espacial, estructural y constructiva que pueda dar cuenta de las necesidades presentes que la institución requiere, como así también, las probables por venir.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Siguiendo estas premisas  y a fin de materializar real y simbólicamente la conexión y apertura entre el colegio y la comunidad, la propuesta se articula en base a tres consignas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estructurantes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: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ind w:left="218" w:hanging="13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La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extensión del suelo público</w:t>
      </w:r>
      <w:r>
        <w:rPr>
          <w:rFonts w:ascii="Calibri" w:hAnsi="Calibri" w:cs="Calibri"/>
          <w:color w:val="000000"/>
          <w:sz w:val="24"/>
          <w:szCs w:val="24"/>
        </w:rPr>
        <w:t xml:space="preserve"> de la vereda hacia el interior del lote en una gradiente de usos comunes a exclusivos.</w:t>
      </w:r>
    </w:p>
    <w:p w:rsidR="001824FD" w:rsidRDefault="001824FD" w:rsidP="001824FD">
      <w:pPr>
        <w:autoSpaceDE w:val="0"/>
        <w:autoSpaceDN w:val="0"/>
        <w:adjustRightInd w:val="0"/>
        <w:spacing w:after="0"/>
        <w:ind w:left="218" w:hanging="13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La compactación sobre la medianera sur de una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barra de servicios</w:t>
      </w:r>
      <w:r>
        <w:rPr>
          <w:rFonts w:ascii="Calibri" w:hAnsi="Calibri" w:cs="Calibri"/>
          <w:color w:val="000000"/>
          <w:sz w:val="24"/>
          <w:szCs w:val="24"/>
        </w:rPr>
        <w:t>, circulaciones y contrafuerte estructural  a fin de maximizar la planta liberada.</w:t>
      </w:r>
    </w:p>
    <w:p w:rsidR="001824FD" w:rsidRDefault="001824FD" w:rsidP="001824FD">
      <w:pPr>
        <w:autoSpaceDE w:val="0"/>
        <w:autoSpaceDN w:val="0"/>
        <w:adjustRightInd w:val="0"/>
        <w:spacing w:after="0"/>
        <w:ind w:left="218" w:hanging="13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La interposición de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filtros ambientales y espaciales</w:t>
      </w:r>
      <w:r>
        <w:rPr>
          <w:rFonts w:ascii="Calibri" w:hAnsi="Calibri" w:cs="Calibri"/>
          <w:color w:val="000000"/>
          <w:sz w:val="24"/>
          <w:szCs w:val="24"/>
        </w:rPr>
        <w:t xml:space="preserve"> paralelos a la calle, de configuraciones materiales y formales variables y transformables, adaptables y sustituibles en el tiempo.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En este esquema, la planta baja se considera como un espacio único articulado por dos patios. Uno frontal que a modo de transición con el espacio público, resuelve el momento del ingreso, la fachada de doble frente y reinterpreta el patio de retiro presente en la morfología urbana de la zona. El otro interior  separa las actividades propias del Área Técnica y Administrativa del Espacio Social- Recreativo. Ambos patios sirven como extensión de actividades al espacio abierto interior y pueden considerarse como áreas de reserva para futuras ampliaciones. 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En una primera etapa el ESR se propone como espacio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semicubierto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solo a fin de cumplir con la condición de superficie máxima estipulada, lo que puede modificarse con una mínima inversión a futuro.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Funcionalmente, se propone una disposición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semi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integrada de las áreas principales del programa en PB. La divide longitudinalmente un biombo multifunción,  constituyendo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un contenedor de atención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en horario diurno al lado norte de la planta. Paneles corredizos </w:t>
      </w:r>
      <w:r>
        <w:rPr>
          <w:rFonts w:ascii="Calibri" w:hAnsi="Calibri" w:cs="Calibri"/>
          <w:color w:val="000000"/>
          <w:sz w:val="24"/>
          <w:szCs w:val="24"/>
        </w:rPr>
        <w:lastRenderedPageBreak/>
        <w:t xml:space="preserve">permiten el cierre y el uso del biombo como plano de exposición para muestras, eventos o exposiciones, extendiendo las posibilidades de servicio y uso de la sede como espacio cultural. 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La PA continúa con esta lógica al ubicarse las circulaciones verticales en los extremos del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area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de acceso, y permite más allá de los requerimientos específicos, dividirla o liberarla completamente con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panelerías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móviles o removibles.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Esta configuración espacial-funcional podrá ser a su vez, adaptada a futuros programas (traslado de sala de reuniones a ESR, ampliación de puestos de atención, sala de capacitaciones, incorporación de espacios de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co-working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 bar etc.) con mínima inversión, complejidad constructiva y tiempos de ejecución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Se postula la simplicidad constructiva atendiendo a minimizar tiempos de obra, bajo costo de mantenimiento, posibilidad de reemplazo o sustitución de lo no estructural e incorporación de todos los sistemas vigentes de infraestructuras e instalaciones  de reducción de impacto ambiental que se consideren necesarios en el proyecto definitivo.</w:t>
      </w:r>
    </w:p>
    <w:p w:rsidR="001824FD" w:rsidRDefault="001824FD" w:rsidP="001824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Se adopta un sistema de construcción en seco, de perfilería metálica  y losas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pre moldeadas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para el sector de planta libre, y muros portantes de bloques para el sector de servicios atendiendo a las solicitaciones espaciales y prestaciones funcionales propias y diferenciadas de cada sector, ambos liberados estructuralmente de las medianeras. La cubierta metálica cubre la totalidad del ancho del lote y se utilizan los patios como vertederos de recogida pluvial. Todas las divisiones internas se resuelven mediante tabiquerías livianas de construcción en seco.</w:t>
      </w: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1824FD" w:rsidRDefault="001824FD" w:rsidP="007A6F20">
      <w:pPr>
        <w:spacing w:after="0"/>
        <w:jc w:val="both"/>
        <w:rPr>
          <w:rFonts w:cstheme="minorHAnsi"/>
        </w:rPr>
      </w:pPr>
    </w:p>
    <w:p w:rsidR="00A7490A" w:rsidRPr="00061B27" w:rsidRDefault="00A7490A" w:rsidP="007A6F20">
      <w:pPr>
        <w:spacing w:after="0"/>
        <w:jc w:val="both"/>
        <w:rPr>
          <w:rFonts w:cstheme="minorHAnsi"/>
        </w:rPr>
      </w:pPr>
    </w:p>
    <w:p w:rsidR="00E42335" w:rsidRDefault="00E42335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Default="001824FD" w:rsidP="007A6F20">
      <w:pPr>
        <w:spacing w:after="0"/>
        <w:jc w:val="both"/>
        <w:rPr>
          <w:rFonts w:cstheme="minorHAnsi"/>
          <w:noProof/>
          <w:lang w:eastAsia="es-AR"/>
        </w:rPr>
      </w:pPr>
    </w:p>
    <w:p w:rsidR="001824FD" w:rsidRPr="00061B27" w:rsidRDefault="001824FD" w:rsidP="007A6F20">
      <w:pPr>
        <w:spacing w:after="0"/>
        <w:jc w:val="both"/>
        <w:rPr>
          <w:rFonts w:cstheme="minorHAnsi"/>
        </w:rPr>
      </w:pPr>
      <w:r>
        <w:rPr>
          <w:rFonts w:cstheme="minorHAnsi"/>
          <w:noProof/>
          <w:lang w:eastAsia="es-AR"/>
        </w:rPr>
        <w:lastRenderedPageBreak/>
        <w:t>E</w:t>
      </w:r>
      <w:r>
        <w:rPr>
          <w:rFonts w:cstheme="minorHAnsi"/>
          <w:noProof/>
          <w:lang w:eastAsia="es-AR"/>
        </w:rPr>
        <w:drawing>
          <wp:anchor distT="0" distB="0" distL="114300" distR="114300" simplePos="0" relativeHeight="251658240" behindDoc="0" locked="0" layoutInCell="1" allowOverlap="1" wp14:anchorId="0FFCEDED" wp14:editId="754045A2">
            <wp:simplePos x="0" y="0"/>
            <wp:positionH relativeFrom="column">
              <wp:posOffset>-722630</wp:posOffset>
            </wp:positionH>
            <wp:positionV relativeFrom="paragraph">
              <wp:posOffset>649605</wp:posOffset>
            </wp:positionV>
            <wp:extent cx="7173595" cy="6741795"/>
            <wp:effectExtent l="6350" t="0" r="0" b="0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_00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4" t="2523" r="10794" b="2692"/>
                    <a:stretch/>
                  </pic:blipFill>
                  <pic:spPr bwMode="auto">
                    <a:xfrm rot="16200000">
                      <a:off x="0" y="0"/>
                      <a:ext cx="7173595" cy="6741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</w:rPr>
        <w:t>SQUEMA ESTRUCTURAL</w:t>
      </w:r>
    </w:p>
    <w:sectPr w:rsidR="001824FD" w:rsidRPr="00061B27" w:rsidSect="00A50AF4"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06C2"/>
    <w:multiLevelType w:val="hybridMultilevel"/>
    <w:tmpl w:val="D53C09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039CD"/>
    <w:multiLevelType w:val="hybridMultilevel"/>
    <w:tmpl w:val="1626F56C"/>
    <w:lvl w:ilvl="0" w:tplc="148A41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4C"/>
    <w:rsid w:val="00061B27"/>
    <w:rsid w:val="000A2300"/>
    <w:rsid w:val="001824FD"/>
    <w:rsid w:val="001C554C"/>
    <w:rsid w:val="001D603C"/>
    <w:rsid w:val="002048A6"/>
    <w:rsid w:val="005B227D"/>
    <w:rsid w:val="006D1D72"/>
    <w:rsid w:val="006E6F76"/>
    <w:rsid w:val="007A5E85"/>
    <w:rsid w:val="007A6F20"/>
    <w:rsid w:val="00815223"/>
    <w:rsid w:val="00842261"/>
    <w:rsid w:val="00A509FB"/>
    <w:rsid w:val="00A50AF4"/>
    <w:rsid w:val="00A70301"/>
    <w:rsid w:val="00A7490A"/>
    <w:rsid w:val="00AA4774"/>
    <w:rsid w:val="00AB35DC"/>
    <w:rsid w:val="00AD1187"/>
    <w:rsid w:val="00B01EF0"/>
    <w:rsid w:val="00B0441A"/>
    <w:rsid w:val="00B2659D"/>
    <w:rsid w:val="00B40BE7"/>
    <w:rsid w:val="00C123E1"/>
    <w:rsid w:val="00CB7F79"/>
    <w:rsid w:val="00D07A4A"/>
    <w:rsid w:val="00D1630C"/>
    <w:rsid w:val="00D457B1"/>
    <w:rsid w:val="00E42335"/>
    <w:rsid w:val="00E62127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603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8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603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8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3</Pages>
  <Words>627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</dc:creator>
  <cp:keywords/>
  <dc:description/>
  <cp:lastModifiedBy>Ortiz</cp:lastModifiedBy>
  <cp:revision>14</cp:revision>
  <dcterms:created xsi:type="dcterms:W3CDTF">2019-07-31T11:38:00Z</dcterms:created>
  <dcterms:modified xsi:type="dcterms:W3CDTF">2019-09-02T11:00:00Z</dcterms:modified>
</cp:coreProperties>
</file>